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C9D9C" w14:textId="00C88501" w:rsidR="00F430D6" w:rsidRPr="00F430D6" w:rsidRDefault="00F430D6" w:rsidP="00F430D6">
      <w:pPr>
        <w:spacing w:line="240" w:lineRule="auto"/>
      </w:pPr>
      <w:r w:rsidRPr="00F430D6">
        <w:t xml:space="preserve">Please see below the Potomac Shores Town Center Committee list of “asks” in exchange for their and the communities </w:t>
      </w:r>
      <w:r w:rsidR="00E04825" w:rsidRPr="00E04825">
        <w:t>support of the</w:t>
      </w:r>
      <w:r w:rsidR="00E04825">
        <w:t xml:space="preserve"> developer’s</w:t>
      </w:r>
      <w:r w:rsidR="00E04825" w:rsidRPr="00E04825">
        <w:t xml:space="preserve"> forthcoming rezoning request to add additional land to the Potomac Shores development</w:t>
      </w:r>
      <w:r w:rsidRPr="00F430D6">
        <w:t>.</w:t>
      </w:r>
      <w:r w:rsidRPr="00F430D6">
        <w:br/>
      </w:r>
      <w:r w:rsidRPr="00F430D6">
        <w:br/>
        <w:t xml:space="preserve">The Committee took into consideration </w:t>
      </w:r>
      <w:r>
        <w:t xml:space="preserve">input provided by the community across ten Town Center Committee meetings, four developer updates, </w:t>
      </w:r>
      <w:r w:rsidRPr="00F430D6">
        <w:t xml:space="preserve">and all email recommendations, inputs and comments submitted by the community at large as of </w:t>
      </w:r>
      <w:r>
        <w:t>October 31</w:t>
      </w:r>
      <w:r w:rsidRPr="00F430D6">
        <w:rPr>
          <w:vertAlign w:val="superscript"/>
        </w:rPr>
        <w:t>st</w:t>
      </w:r>
      <w:r>
        <w:t>,</w:t>
      </w:r>
      <w:r w:rsidRPr="00F430D6">
        <w:t xml:space="preserve"> 202</w:t>
      </w:r>
      <w:r>
        <w:t>5</w:t>
      </w:r>
      <w:r w:rsidRPr="00F430D6">
        <w:t>.</w:t>
      </w:r>
      <w:r w:rsidRPr="00F430D6">
        <w:br/>
      </w:r>
      <w:r w:rsidRPr="00F430D6">
        <w:br/>
        <w:t>This is the resulting list of concession and amenity “asks” to be submitted to the Developer. </w:t>
      </w:r>
    </w:p>
    <w:p w14:paraId="7B55C1E2" w14:textId="77777777" w:rsidR="00F430D6" w:rsidRDefault="00F430D6" w:rsidP="00F430D6">
      <w:pPr>
        <w:pStyle w:val="ListParagraph"/>
        <w:numPr>
          <w:ilvl w:val="0"/>
          <w:numId w:val="21"/>
        </w:numPr>
        <w:spacing w:after="0" w:line="240" w:lineRule="auto"/>
      </w:pPr>
      <w:r>
        <w:t xml:space="preserve">All future developments within the boundaries of Potomac Shores will have to present to the Town Center Committee prior to site plan approval by the county. The Town Center Committee will have purview to provide feedback over building massing, architecture, and ground floor usage to ensure compliance with the design documents governing the Town Center and preserve sight lines.  </w:t>
      </w:r>
    </w:p>
    <w:p w14:paraId="7CC73602" w14:textId="440E801D" w:rsidR="00F430D6" w:rsidRPr="00F430D6" w:rsidRDefault="00F430D6" w:rsidP="00F430D6">
      <w:pPr>
        <w:pStyle w:val="ListParagraph"/>
        <w:numPr>
          <w:ilvl w:val="0"/>
          <w:numId w:val="21"/>
        </w:numPr>
        <w:spacing w:after="0" w:line="240" w:lineRule="auto"/>
        <w:rPr>
          <w:color w:val="000000" w:themeColor="text1"/>
        </w:rPr>
      </w:pPr>
      <w:r>
        <w:t xml:space="preserve">Requirements for ‘non-residential square footage’ in blocks three and four be refined to </w:t>
      </w:r>
      <w:r w:rsidRPr="00F430D6">
        <w:rPr>
          <w:rFonts w:cstheme="minorHAnsi"/>
          <w:color w:val="000000" w:themeColor="text1"/>
        </w:rPr>
        <w:t xml:space="preserve">require the occupier to be one of the following: local business, restaurant, hotel, or other </w:t>
      </w:r>
      <w:r w:rsidRPr="00F430D6">
        <w:rPr>
          <w:rFonts w:cstheme="minorHAnsi"/>
          <w:color w:val="000000" w:themeColor="text1"/>
          <w:shd w:val="clear" w:color="auto" w:fill="FFFFFF"/>
        </w:rPr>
        <w:t>businesses primarily engaged in the sale of goods directly to consumers.</w:t>
      </w:r>
    </w:p>
    <w:p w14:paraId="016FF007" w14:textId="77777777" w:rsidR="00F430D6" w:rsidRDefault="00F430D6" w:rsidP="00F430D6">
      <w:pPr>
        <w:pStyle w:val="ListParagraph"/>
        <w:numPr>
          <w:ilvl w:val="0"/>
          <w:numId w:val="21"/>
        </w:numPr>
        <w:spacing w:after="0" w:line="240" w:lineRule="auto"/>
      </w:pPr>
      <w:r w:rsidRPr="00F430D6">
        <w:rPr>
          <w:color w:val="000000" w:themeColor="text1"/>
        </w:rPr>
        <w:t xml:space="preserve">The developer will add a second fitness center of at least 7,500 sq feet. to the </w:t>
      </w:r>
      <w:r>
        <w:t>community within 18 months of the proffer’s approval.</w:t>
      </w:r>
    </w:p>
    <w:p w14:paraId="3E57F56A" w14:textId="77777777" w:rsidR="00F430D6" w:rsidRDefault="00F430D6" w:rsidP="00F430D6">
      <w:pPr>
        <w:pStyle w:val="ListParagraph"/>
        <w:numPr>
          <w:ilvl w:val="0"/>
          <w:numId w:val="21"/>
        </w:numPr>
        <w:spacing w:after="0" w:line="240" w:lineRule="auto"/>
      </w:pPr>
      <w:r>
        <w:t>The developer will remove the remaining $250k of debt he holds against the Potomac Shores HOA before selling the newly incorporated land to a builder.</w:t>
      </w:r>
    </w:p>
    <w:p w14:paraId="4F6EB82D" w14:textId="77777777" w:rsidR="00F430D6" w:rsidRDefault="00F430D6" w:rsidP="00F430D6">
      <w:pPr>
        <w:pStyle w:val="ListParagraph"/>
        <w:numPr>
          <w:ilvl w:val="0"/>
          <w:numId w:val="21"/>
        </w:numPr>
        <w:spacing w:after="0" w:line="240" w:lineRule="auto"/>
      </w:pPr>
      <w:r>
        <w:t>Residents will gain one additional seat on the Potomac Shores HOA board when 75% of the 3,957 total allowable dwelling units have been completed.</w:t>
      </w:r>
    </w:p>
    <w:p w14:paraId="659C8564" w14:textId="77777777" w:rsidR="00F430D6" w:rsidRDefault="00F430D6" w:rsidP="00F430D6">
      <w:pPr>
        <w:pStyle w:val="ListParagraph"/>
        <w:numPr>
          <w:ilvl w:val="0"/>
          <w:numId w:val="21"/>
        </w:numPr>
        <w:spacing w:after="0" w:line="240" w:lineRule="auto"/>
      </w:pPr>
      <w:r>
        <w:t>The developer will convert the Marina Parcel into a community park within 12 months of the VRE Station opening. The developer will work with the Town Center Committee to design plans for the park.</w:t>
      </w:r>
    </w:p>
    <w:p w14:paraId="40B62E83" w14:textId="77777777" w:rsidR="00F430D6" w:rsidRDefault="00F430D6" w:rsidP="00F430D6">
      <w:pPr>
        <w:pStyle w:val="ListParagraph"/>
        <w:numPr>
          <w:ilvl w:val="0"/>
          <w:numId w:val="21"/>
        </w:numPr>
        <w:spacing w:after="0" w:line="240" w:lineRule="auto"/>
      </w:pPr>
      <w:r>
        <w:t>The developer will grant Potomac Shores residents permanent access to any amenities (i.e. pool, fitness center, playground, clubhouse) in both Margie’s Way and Keys Ridge Road communities.</w:t>
      </w:r>
    </w:p>
    <w:p w14:paraId="127CF102" w14:textId="77777777" w:rsidR="00F430D6" w:rsidRDefault="00F430D6" w:rsidP="00F430D6">
      <w:pPr>
        <w:spacing w:after="0" w:line="240" w:lineRule="auto"/>
      </w:pPr>
    </w:p>
    <w:p w14:paraId="4020649F" w14:textId="61F63CBC" w:rsidR="00FA30C7" w:rsidRDefault="00F430D6" w:rsidP="00F430D6">
      <w:pPr>
        <w:spacing w:line="240" w:lineRule="auto"/>
      </w:pPr>
      <w:r w:rsidRPr="00F430D6">
        <w:t>The Committee will provide feedback to the Potomac Shores community based on responses from and engagement with the Developer.  </w:t>
      </w:r>
    </w:p>
    <w:p w14:paraId="4EEF886C" w14:textId="77777777" w:rsidR="00F430D6" w:rsidRDefault="00F430D6" w:rsidP="00F430D6">
      <w:pPr>
        <w:spacing w:line="240" w:lineRule="auto"/>
      </w:pPr>
    </w:p>
    <w:p w14:paraId="0DF5B15F" w14:textId="77777777" w:rsidR="00F430D6" w:rsidRDefault="00F430D6" w:rsidP="00F430D6">
      <w:pPr>
        <w:spacing w:line="240" w:lineRule="auto"/>
      </w:pPr>
    </w:p>
    <w:p w14:paraId="5B1352B4" w14:textId="77777777" w:rsidR="00F430D6" w:rsidRDefault="00F430D6" w:rsidP="00F430D6">
      <w:pPr>
        <w:spacing w:line="240" w:lineRule="auto"/>
      </w:pPr>
    </w:p>
    <w:sectPr w:rsidR="00F430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53A32"/>
    <w:multiLevelType w:val="multilevel"/>
    <w:tmpl w:val="7F58E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411FD4"/>
    <w:multiLevelType w:val="multilevel"/>
    <w:tmpl w:val="9E50D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217BF6"/>
    <w:multiLevelType w:val="multilevel"/>
    <w:tmpl w:val="FEACB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1B735C"/>
    <w:multiLevelType w:val="multilevel"/>
    <w:tmpl w:val="E72AC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704485"/>
    <w:multiLevelType w:val="hybridMultilevel"/>
    <w:tmpl w:val="B7525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8C4BC9"/>
    <w:multiLevelType w:val="multilevel"/>
    <w:tmpl w:val="469E7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E3B5298"/>
    <w:multiLevelType w:val="multilevel"/>
    <w:tmpl w:val="A2460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85C26ED"/>
    <w:multiLevelType w:val="multilevel"/>
    <w:tmpl w:val="36025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EEF5C45"/>
    <w:multiLevelType w:val="multilevel"/>
    <w:tmpl w:val="3438B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529512">
    <w:abstractNumId w:val="2"/>
  </w:num>
  <w:num w:numId="2" w16cid:durableId="1764491915">
    <w:abstractNumId w:val="3"/>
  </w:num>
  <w:num w:numId="3" w16cid:durableId="580992196">
    <w:abstractNumId w:val="5"/>
    <w:lvlOverride w:ilvl="0">
      <w:startOverride w:val="3"/>
    </w:lvlOverride>
  </w:num>
  <w:num w:numId="4" w16cid:durableId="214893655">
    <w:abstractNumId w:val="6"/>
    <w:lvlOverride w:ilvl="0">
      <w:startOverride w:val="4"/>
    </w:lvlOverride>
  </w:num>
  <w:num w:numId="5" w16cid:durableId="421797765">
    <w:abstractNumId w:val="6"/>
    <w:lvlOverride w:ilvl="0">
      <w:startOverride w:val="5"/>
    </w:lvlOverride>
  </w:num>
  <w:num w:numId="6" w16cid:durableId="971986802">
    <w:abstractNumId w:val="6"/>
    <w:lvlOverride w:ilvl="0">
      <w:startOverride w:val="6"/>
    </w:lvlOverride>
  </w:num>
  <w:num w:numId="7" w16cid:durableId="237909467">
    <w:abstractNumId w:val="6"/>
    <w:lvlOverride w:ilvl="0">
      <w:startOverride w:val="7"/>
    </w:lvlOverride>
  </w:num>
  <w:num w:numId="8" w16cid:durableId="1659723960">
    <w:abstractNumId w:val="6"/>
    <w:lvlOverride w:ilvl="0">
      <w:startOverride w:val="8"/>
    </w:lvlOverride>
  </w:num>
  <w:num w:numId="9" w16cid:durableId="1124541601">
    <w:abstractNumId w:val="6"/>
    <w:lvlOverride w:ilvl="0">
      <w:startOverride w:val="9"/>
    </w:lvlOverride>
  </w:num>
  <w:num w:numId="10" w16cid:durableId="2075884889">
    <w:abstractNumId w:val="6"/>
    <w:lvlOverride w:ilvl="0">
      <w:startOverride w:val="10"/>
    </w:lvlOverride>
  </w:num>
  <w:num w:numId="11" w16cid:durableId="1211454359">
    <w:abstractNumId w:val="0"/>
  </w:num>
  <w:num w:numId="12" w16cid:durableId="1419248313">
    <w:abstractNumId w:val="8"/>
  </w:num>
  <w:num w:numId="13" w16cid:durableId="550770983">
    <w:abstractNumId w:val="1"/>
    <w:lvlOverride w:ilvl="0">
      <w:startOverride w:val="3"/>
    </w:lvlOverride>
  </w:num>
  <w:num w:numId="14" w16cid:durableId="464934255">
    <w:abstractNumId w:val="7"/>
    <w:lvlOverride w:ilvl="0">
      <w:startOverride w:val="4"/>
    </w:lvlOverride>
  </w:num>
  <w:num w:numId="15" w16cid:durableId="314342291">
    <w:abstractNumId w:val="7"/>
    <w:lvlOverride w:ilvl="0">
      <w:startOverride w:val="5"/>
    </w:lvlOverride>
  </w:num>
  <w:num w:numId="16" w16cid:durableId="1919171251">
    <w:abstractNumId w:val="7"/>
    <w:lvlOverride w:ilvl="0">
      <w:startOverride w:val="6"/>
    </w:lvlOverride>
  </w:num>
  <w:num w:numId="17" w16cid:durableId="262691586">
    <w:abstractNumId w:val="7"/>
    <w:lvlOverride w:ilvl="0">
      <w:startOverride w:val="7"/>
    </w:lvlOverride>
  </w:num>
  <w:num w:numId="18" w16cid:durableId="1652707105">
    <w:abstractNumId w:val="7"/>
    <w:lvlOverride w:ilvl="0">
      <w:startOverride w:val="8"/>
    </w:lvlOverride>
  </w:num>
  <w:num w:numId="19" w16cid:durableId="115299457">
    <w:abstractNumId w:val="7"/>
    <w:lvlOverride w:ilvl="0">
      <w:startOverride w:val="9"/>
    </w:lvlOverride>
  </w:num>
  <w:num w:numId="20" w16cid:durableId="1952009535">
    <w:abstractNumId w:val="7"/>
    <w:lvlOverride w:ilvl="0">
      <w:startOverride w:val="10"/>
    </w:lvlOverride>
  </w:num>
  <w:num w:numId="21" w16cid:durableId="9273011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0D6"/>
    <w:rsid w:val="002C3050"/>
    <w:rsid w:val="00400368"/>
    <w:rsid w:val="00693D84"/>
    <w:rsid w:val="00930268"/>
    <w:rsid w:val="00934327"/>
    <w:rsid w:val="00E04825"/>
    <w:rsid w:val="00EF546B"/>
    <w:rsid w:val="00F430D6"/>
    <w:rsid w:val="00FA3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E3D796"/>
  <w15:chartTrackingRefBased/>
  <w15:docId w15:val="{19131F64-5BFE-C44E-BACD-602CC18F9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30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430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430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430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430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430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30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30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30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0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430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30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30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430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430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30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30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30D6"/>
    <w:rPr>
      <w:rFonts w:eastAsiaTheme="majorEastAsia" w:cstheme="majorBidi"/>
      <w:color w:val="272727" w:themeColor="text1" w:themeTint="D8"/>
    </w:rPr>
  </w:style>
  <w:style w:type="paragraph" w:styleId="Title">
    <w:name w:val="Title"/>
    <w:basedOn w:val="Normal"/>
    <w:next w:val="Normal"/>
    <w:link w:val="TitleChar"/>
    <w:uiPriority w:val="10"/>
    <w:qFormat/>
    <w:rsid w:val="00F430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30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30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30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30D6"/>
    <w:pPr>
      <w:spacing w:before="160"/>
      <w:jc w:val="center"/>
    </w:pPr>
    <w:rPr>
      <w:i/>
      <w:iCs/>
      <w:color w:val="404040" w:themeColor="text1" w:themeTint="BF"/>
    </w:rPr>
  </w:style>
  <w:style w:type="character" w:customStyle="1" w:styleId="QuoteChar">
    <w:name w:val="Quote Char"/>
    <w:basedOn w:val="DefaultParagraphFont"/>
    <w:link w:val="Quote"/>
    <w:uiPriority w:val="29"/>
    <w:rsid w:val="00F430D6"/>
    <w:rPr>
      <w:i/>
      <w:iCs/>
      <w:color w:val="404040" w:themeColor="text1" w:themeTint="BF"/>
    </w:rPr>
  </w:style>
  <w:style w:type="paragraph" w:styleId="ListParagraph">
    <w:name w:val="List Paragraph"/>
    <w:basedOn w:val="Normal"/>
    <w:uiPriority w:val="34"/>
    <w:qFormat/>
    <w:rsid w:val="00F430D6"/>
    <w:pPr>
      <w:ind w:left="720"/>
      <w:contextualSpacing/>
    </w:pPr>
  </w:style>
  <w:style w:type="character" w:styleId="IntenseEmphasis">
    <w:name w:val="Intense Emphasis"/>
    <w:basedOn w:val="DefaultParagraphFont"/>
    <w:uiPriority w:val="21"/>
    <w:qFormat/>
    <w:rsid w:val="00F430D6"/>
    <w:rPr>
      <w:i/>
      <w:iCs/>
      <w:color w:val="2F5496" w:themeColor="accent1" w:themeShade="BF"/>
    </w:rPr>
  </w:style>
  <w:style w:type="paragraph" w:styleId="IntenseQuote">
    <w:name w:val="Intense Quote"/>
    <w:basedOn w:val="Normal"/>
    <w:next w:val="Normal"/>
    <w:link w:val="IntenseQuoteChar"/>
    <w:uiPriority w:val="30"/>
    <w:qFormat/>
    <w:rsid w:val="00F430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430D6"/>
    <w:rPr>
      <w:i/>
      <w:iCs/>
      <w:color w:val="2F5496" w:themeColor="accent1" w:themeShade="BF"/>
    </w:rPr>
  </w:style>
  <w:style w:type="character" w:styleId="IntenseReference">
    <w:name w:val="Intense Reference"/>
    <w:basedOn w:val="DefaultParagraphFont"/>
    <w:uiPriority w:val="32"/>
    <w:qFormat/>
    <w:rsid w:val="00F430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322</Words>
  <Characters>1842</Characters>
  <Application>Microsoft Office Word</Application>
  <DocSecurity>0</DocSecurity>
  <Lines>15</Lines>
  <Paragraphs>4</Paragraphs>
  <ScaleCrop>false</ScaleCrop>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Wilker, Kenyon</dc:creator>
  <cp:keywords/>
  <dc:description/>
  <cp:lastModifiedBy>Wilker, Kenyon</cp:lastModifiedBy>
  <cp:revision>2</cp:revision>
  <dcterms:created xsi:type="dcterms:W3CDTF">2025-11-25T12:10:00Z</dcterms:created>
  <dcterms:modified xsi:type="dcterms:W3CDTF">2025-11-25T17:15:00Z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9e68092-05df-4271-8e3e-b2a4c82ba797_Enabled">
    <vt:lpwstr>true</vt:lpwstr>
  </property>
  <property fmtid="{D5CDD505-2E9C-101B-9397-08002B2CF9AE}" pid="3" name="MSIP_Label_19e68092-05df-4271-8e3e-b2a4c82ba797_SetDate">
    <vt:lpwstr>2025-11-25T12:18:41Z</vt:lpwstr>
  </property>
  <property fmtid="{D5CDD505-2E9C-101B-9397-08002B2CF9AE}" pid="4" name="MSIP_Label_19e68092-05df-4271-8e3e-b2a4c82ba797_Method">
    <vt:lpwstr>Standard</vt:lpwstr>
  </property>
  <property fmtid="{D5CDD505-2E9C-101B-9397-08002B2CF9AE}" pid="5" name="MSIP_Label_19e68092-05df-4271-8e3e-b2a4c82ba797_Name">
    <vt:lpwstr>Amazon Confidential</vt:lpwstr>
  </property>
  <property fmtid="{D5CDD505-2E9C-101B-9397-08002B2CF9AE}" pid="6" name="MSIP_Label_19e68092-05df-4271-8e3e-b2a4c82ba797_SiteId">
    <vt:lpwstr>5280104a-472d-4538-9ccf-1e1d0efe8b1b</vt:lpwstr>
  </property>
  <property fmtid="{D5CDD505-2E9C-101B-9397-08002B2CF9AE}" pid="7" name="MSIP_Label_19e68092-05df-4271-8e3e-b2a4c82ba797_ActionId">
    <vt:lpwstr>d43de5fd-a76d-41e6-a5b8-35aeef172c84</vt:lpwstr>
  </property>
  <property fmtid="{D5CDD505-2E9C-101B-9397-08002B2CF9AE}" pid="8" name="MSIP_Label_19e68092-05df-4271-8e3e-b2a4c82ba797_ContentBits">
    <vt:lpwstr>0</vt:lpwstr>
  </property>
  <property fmtid="{D5CDD505-2E9C-101B-9397-08002B2CF9AE}" pid="9" name="MSIP_Label_19e68092-05df-4271-8e3e-b2a4c82ba797_Tag">
    <vt:lpwstr>50, 3, 0, 1</vt:lpwstr>
  </property>
</Properties>
</file>